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7E0B553D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</w:t>
      </w:r>
      <w:r w:rsidR="003E6A39">
        <w:rPr>
          <w:rFonts w:cstheme="minorHAnsi"/>
          <w:szCs w:val="18"/>
          <w:lang w:eastAsia="pl-PL"/>
        </w:rPr>
        <w:t>,</w:t>
      </w:r>
      <w:r w:rsidR="0070462E" w:rsidRPr="0070462E">
        <w:rPr>
          <w:rFonts w:cstheme="minorHAnsi"/>
          <w:szCs w:val="18"/>
          <w:lang w:eastAsia="pl-PL"/>
        </w:rPr>
        <w:t xml:space="preserve"> osób fizycznych</w:t>
      </w:r>
      <w:r w:rsidR="003E6A39">
        <w:rPr>
          <w:rFonts w:cstheme="minorHAnsi"/>
          <w:szCs w:val="18"/>
          <w:lang w:eastAsia="pl-PL"/>
        </w:rPr>
        <w:t xml:space="preserve"> zamieszkałych w Rosji lub</w:t>
      </w:r>
      <w:r w:rsidR="0070462E" w:rsidRPr="0070462E">
        <w:rPr>
          <w:rFonts w:cstheme="minorHAnsi"/>
          <w:szCs w:val="18"/>
          <w:lang w:eastAsia="pl-PL"/>
        </w:rPr>
        <w:t xml:space="preserve"> </w:t>
      </w:r>
      <w:r w:rsidR="003E6A39">
        <w:rPr>
          <w:rFonts w:cstheme="minorHAnsi"/>
          <w:szCs w:val="18"/>
          <w:lang w:eastAsia="pl-PL"/>
        </w:rPr>
        <w:t>osób</w:t>
      </w:r>
      <w:r w:rsidR="0070462E" w:rsidRPr="0070462E">
        <w:rPr>
          <w:rFonts w:cstheme="minorHAnsi"/>
          <w:szCs w:val="18"/>
          <w:lang w:eastAsia="pl-PL"/>
        </w:rPr>
        <w:t xml:space="preserve"> prawnych, podmiotów lub organów z siedzibą w Rosji;</w:t>
      </w:r>
    </w:p>
    <w:p w14:paraId="24486587" w14:textId="10C29C86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="003E6A39">
        <w:rPr>
          <w:rFonts w:cstheme="minorHAnsi"/>
          <w:szCs w:val="18"/>
          <w:lang w:eastAsia="pl-PL"/>
        </w:rPr>
        <w:t xml:space="preserve">osoby fizycznej lub prawnej, </w:t>
      </w:r>
      <w:r w:rsidR="0070462E" w:rsidRPr="0070462E">
        <w:rPr>
          <w:rFonts w:cstheme="minorHAnsi"/>
          <w:szCs w:val="18"/>
          <w:lang w:eastAsia="pl-PL"/>
        </w:rPr>
        <w:t>podmiotu</w:t>
      </w:r>
      <w:r w:rsidR="003E6A39">
        <w:rPr>
          <w:rFonts w:cstheme="minorHAnsi"/>
          <w:szCs w:val="18"/>
          <w:lang w:eastAsia="pl-PL"/>
        </w:rPr>
        <w:t xml:space="preserve"> lub organu</w:t>
      </w:r>
      <w:r w:rsidR="0070462E" w:rsidRPr="0070462E">
        <w:rPr>
          <w:rFonts w:cstheme="minorHAnsi"/>
          <w:szCs w:val="18"/>
          <w:lang w:eastAsia="pl-PL"/>
        </w:rPr>
        <w:t>, o który</w:t>
      </w:r>
      <w:r w:rsidR="003E6A39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213BC999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="003E6A39">
        <w:rPr>
          <w:rFonts w:cstheme="minorHAnsi"/>
          <w:szCs w:val="18"/>
          <w:lang w:eastAsia="pl-PL"/>
        </w:rPr>
        <w:t>osoby fizycznej lub prawnej, podmiotu lub organu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  <w:r w:rsidR="003E6A39">
        <w:rPr>
          <w:rFonts w:cstheme="minorHAnsi"/>
          <w:szCs w:val="18"/>
          <w:lang w:eastAsia="pl-PL"/>
        </w:rPr>
        <w:t xml:space="preserve">o </w:t>
      </w:r>
      <w:r w:rsidR="0070462E" w:rsidRPr="0070462E">
        <w:rPr>
          <w:rFonts w:cstheme="minorHAnsi"/>
          <w:szCs w:val="18"/>
          <w:lang w:eastAsia="pl-PL"/>
        </w:rPr>
        <w:t>który</w:t>
      </w:r>
      <w:r w:rsidR="003E6A39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1531582" w14:textId="3B93F723" w:rsidR="00DA0DE3" w:rsidRPr="00155543" w:rsidRDefault="002F2772" w:rsidP="0015554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2F2772">
        <w:rPr>
          <w:rFonts w:cstheme="minorHAnsi"/>
          <w:snapToGrid w:val="0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8EC8FF0" w14:textId="77777777" w:rsidR="00155543" w:rsidRPr="00155543" w:rsidRDefault="00155543" w:rsidP="0015554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155543">
        <w:rPr>
          <w:rFonts w:cstheme="minorHAnsi"/>
          <w:szCs w:val="18"/>
          <w:lang w:eastAsia="pl-PL"/>
        </w:rPr>
        <w:t xml:space="preserve">co najmniej 1 osobą posiadającą uprawnienia budowlane do projektowania (uprawnienia </w:t>
      </w:r>
    </w:p>
    <w:p w14:paraId="665AB3C4" w14:textId="77777777" w:rsidR="00155543" w:rsidRPr="00155543" w:rsidRDefault="00155543" w:rsidP="0015554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155543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(załącznik nr 1.7 do SWZ) tj. w specjalności instalacyjnej w zakresie sieci, instalacji i urządzeń elektrycznych i elektroenergetycznych.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7015BB42" w14:textId="34B46FFB" w:rsidR="00622E05" w:rsidRPr="00622E05" w:rsidRDefault="00155543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  <w:r w:rsidRPr="00155543">
        <w:rPr>
          <w:rFonts w:cstheme="minorHAnsi"/>
          <w:szCs w:val="18"/>
          <w:lang w:eastAsia="pl-PL"/>
        </w:rPr>
        <w:t>Zamawiający nie stawia szczególnych warunków w tym zakresie.</w:t>
      </w: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5FCAF85F" w:rsidR="0070462E" w:rsidRPr="0070462E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Pr="00622E05">
        <w:rPr>
          <w:rFonts w:cstheme="minorHAnsi"/>
          <w:iCs/>
          <w:color w:val="000000"/>
          <w:szCs w:val="18"/>
        </w:rPr>
        <w:t>8.1</w:t>
      </w:r>
      <w:r w:rsidR="0043053A">
        <w:rPr>
          <w:rFonts w:cstheme="minorHAnsi"/>
          <w:iCs/>
          <w:color w:val="000000"/>
          <w:szCs w:val="18"/>
        </w:rPr>
        <w:t>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 xml:space="preserve">1.1 w </w:t>
      </w:r>
      <w:proofErr w:type="spellStart"/>
      <w:r w:rsidR="00622E05" w:rsidRPr="00622E05">
        <w:rPr>
          <w:rFonts w:cstheme="minorHAnsi"/>
          <w:iCs/>
          <w:color w:val="000000"/>
          <w:szCs w:val="18"/>
        </w:rPr>
        <w:t>ppkt</w:t>
      </w:r>
      <w:proofErr w:type="spellEnd"/>
      <w:r w:rsidR="00622E05" w:rsidRPr="00622E05">
        <w:rPr>
          <w:rFonts w:cstheme="minorHAnsi"/>
          <w:iCs/>
          <w:color w:val="000000"/>
          <w:szCs w:val="18"/>
        </w:rPr>
        <w:t>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410DE26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05266BE3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którym mowa w pkt 1.2.1. a) powyżej, (</w:t>
      </w:r>
      <w:r>
        <w:rPr>
          <w:rFonts w:eastAsia="Calibri" w:cstheme="minorHAnsi"/>
          <w:b/>
          <w:szCs w:val="18"/>
        </w:rPr>
        <w:t xml:space="preserve">zgodnie  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1984FEE6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7277A5">
        <w:rPr>
          <w:rFonts w:eastAsia="Calibri" w:cstheme="minorHAnsi"/>
          <w:bCs/>
          <w:szCs w:val="18"/>
        </w:rPr>
        <w:t>b</w:t>
      </w:r>
      <w:r w:rsidRPr="00A659B0">
        <w:rPr>
          <w:rFonts w:eastAsia="Calibri" w:cstheme="minorHAnsi"/>
          <w:bCs/>
          <w:szCs w:val="18"/>
        </w:rPr>
        <w:t>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30343983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 xml:space="preserve">1.2.3. </w:t>
      </w:r>
      <w:r w:rsidR="00A536E5">
        <w:rPr>
          <w:rFonts w:eastAsia="Calibri" w:cstheme="minorHAnsi"/>
          <w:szCs w:val="18"/>
        </w:rPr>
        <w:t>c</w:t>
      </w:r>
      <w:r w:rsidR="00D1257F" w:rsidRPr="00D1257F">
        <w:rPr>
          <w:rFonts w:eastAsia="Calibri" w:cstheme="minorHAnsi"/>
          <w:szCs w:val="18"/>
        </w:rPr>
        <w:t>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D1257F">
        <w:rPr>
          <w:rFonts w:eastAsia="Calibri" w:cstheme="minorHAnsi"/>
          <w:szCs w:val="18"/>
          <w:u w:val="single"/>
        </w:rPr>
        <w:t>wraz z dokumentem potwierdzającym opła</w:t>
      </w:r>
      <w:r w:rsidR="00D1257F" w:rsidRPr="00D1257F">
        <w:rPr>
          <w:rFonts w:eastAsia="Calibri" w:cstheme="minorHAnsi"/>
          <w:szCs w:val="18"/>
          <w:u w:val="single"/>
        </w:rPr>
        <w:t>cenie składki ubezpieczeniowej</w:t>
      </w:r>
      <w:r w:rsidR="00B02EFE">
        <w:rPr>
          <w:rFonts w:eastAsia="Calibri" w:cstheme="minorHAnsi"/>
          <w:szCs w:val="18"/>
        </w:rPr>
        <w:t xml:space="preserve"> – nie dotyczy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0DA04CE3" w:rsid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59B2573C" w14:textId="77777777" w:rsidR="00D1257F" w:rsidRPr="0070462E" w:rsidRDefault="00D1257F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5EE03351" w:rsidR="0070462E" w:rsidRPr="0070462E" w:rsidRDefault="0070462E" w:rsidP="00155543">
      <w:pPr>
        <w:pStyle w:val="Tekstpodstawowy"/>
        <w:spacing w:line="24" w:lineRule="atLeast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05994F28" w:rsidR="0070462E" w:rsidRPr="00D1257F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1257F">
        <w:rPr>
          <w:rFonts w:cstheme="minorHAnsi"/>
          <w:szCs w:val="18"/>
          <w:u w:val="single"/>
        </w:rPr>
        <w:t xml:space="preserve">Potwierdzenie wniesienia wadium dołączone do oferty </w:t>
      </w:r>
      <w:r w:rsidR="00155543">
        <w:rPr>
          <w:rFonts w:eastAsia="Calibri" w:cstheme="minorHAnsi"/>
          <w:szCs w:val="18"/>
          <w:u w:val="single"/>
        </w:rPr>
        <w:t xml:space="preserve">powyżej – </w:t>
      </w:r>
      <w:r w:rsidR="00155543" w:rsidRPr="00155543">
        <w:rPr>
          <w:rFonts w:eastAsia="Calibri" w:cstheme="minorHAnsi"/>
          <w:b/>
          <w:szCs w:val="18"/>
          <w:u w:val="single"/>
        </w:rPr>
        <w:t>nie dotyczy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6B3DDBD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D7F3DB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6E5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7A7DDD8" w14:textId="77777777" w:rsidR="00155543" w:rsidRPr="00155543" w:rsidRDefault="00155543" w:rsidP="00155543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7D4CF44D" w14:textId="77777777" w:rsidR="000B1883" w:rsidRDefault="000B1883" w:rsidP="00155543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0B188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Wykonanie dokumentacji projektowej w branży elektroenergetycznej na terenie działania PGE Dystrybucja S.A. OŁD w RE Żyrardów i RE Zgierz-Pabianice w podziale na 3 części.</w:t>
          </w:r>
        </w:p>
        <w:p w14:paraId="1A19274F" w14:textId="44AB233A" w:rsidR="00347E8D" w:rsidRPr="006B2C28" w:rsidRDefault="002F2772" w:rsidP="0015554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04077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0B188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545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1253540">
    <w:abstractNumId w:val="18"/>
  </w:num>
  <w:num w:numId="2" w16cid:durableId="1531069637">
    <w:abstractNumId w:val="7"/>
  </w:num>
  <w:num w:numId="3" w16cid:durableId="1949114716">
    <w:abstractNumId w:val="12"/>
  </w:num>
  <w:num w:numId="4" w16cid:durableId="1434325183">
    <w:abstractNumId w:val="20"/>
  </w:num>
  <w:num w:numId="5" w16cid:durableId="58289694">
    <w:abstractNumId w:val="18"/>
  </w:num>
  <w:num w:numId="6" w16cid:durableId="1794519970">
    <w:abstractNumId w:val="18"/>
  </w:num>
  <w:num w:numId="7" w16cid:durableId="1874073499">
    <w:abstractNumId w:val="3"/>
  </w:num>
  <w:num w:numId="8" w16cid:durableId="338238501">
    <w:abstractNumId w:val="28"/>
  </w:num>
  <w:num w:numId="9" w16cid:durableId="858660910">
    <w:abstractNumId w:val="16"/>
  </w:num>
  <w:num w:numId="10" w16cid:durableId="1451972499">
    <w:abstractNumId w:val="4"/>
  </w:num>
  <w:num w:numId="11" w16cid:durableId="1152254001">
    <w:abstractNumId w:val="13"/>
  </w:num>
  <w:num w:numId="12" w16cid:durableId="1843080545">
    <w:abstractNumId w:val="11"/>
  </w:num>
  <w:num w:numId="13" w16cid:durableId="928657657">
    <w:abstractNumId w:val="27"/>
  </w:num>
  <w:num w:numId="14" w16cid:durableId="1591425707">
    <w:abstractNumId w:val="23"/>
  </w:num>
  <w:num w:numId="15" w16cid:durableId="1886603857">
    <w:abstractNumId w:val="15"/>
  </w:num>
  <w:num w:numId="16" w16cid:durableId="1971085559">
    <w:abstractNumId w:val="9"/>
  </w:num>
  <w:num w:numId="17" w16cid:durableId="1489512597">
    <w:abstractNumId w:val="5"/>
  </w:num>
  <w:num w:numId="18" w16cid:durableId="20240893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69361629">
    <w:abstractNumId w:val="0"/>
  </w:num>
  <w:num w:numId="20" w16cid:durableId="414860616">
    <w:abstractNumId w:val="29"/>
  </w:num>
  <w:num w:numId="21" w16cid:durableId="2119131000">
    <w:abstractNumId w:val="1"/>
  </w:num>
  <w:num w:numId="22" w16cid:durableId="354308676">
    <w:abstractNumId w:val="14"/>
  </w:num>
  <w:num w:numId="23" w16cid:durableId="374893006">
    <w:abstractNumId w:val="10"/>
  </w:num>
  <w:num w:numId="24" w16cid:durableId="611669370">
    <w:abstractNumId w:val="21"/>
  </w:num>
  <w:num w:numId="25" w16cid:durableId="790172453">
    <w:abstractNumId w:val="26"/>
  </w:num>
  <w:num w:numId="26" w16cid:durableId="396242008">
    <w:abstractNumId w:val="2"/>
  </w:num>
  <w:num w:numId="27" w16cid:durableId="2107537150">
    <w:abstractNumId w:val="25"/>
  </w:num>
  <w:num w:numId="28" w16cid:durableId="16581999">
    <w:abstractNumId w:val="24"/>
  </w:num>
  <w:num w:numId="29" w16cid:durableId="3879194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0272233">
    <w:abstractNumId w:val="19"/>
  </w:num>
  <w:num w:numId="31" w16cid:durableId="1316690625">
    <w:abstractNumId w:val="17"/>
  </w:num>
  <w:num w:numId="32" w16cid:durableId="139022276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77A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883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5543"/>
    <w:rsid w:val="00167B53"/>
    <w:rsid w:val="00172B93"/>
    <w:rsid w:val="00175F4C"/>
    <w:rsid w:val="00185AAB"/>
    <w:rsid w:val="00192A23"/>
    <w:rsid w:val="00195354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475F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2772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E6A39"/>
    <w:rsid w:val="003F132F"/>
    <w:rsid w:val="003F257A"/>
    <w:rsid w:val="0040472A"/>
    <w:rsid w:val="00412E5B"/>
    <w:rsid w:val="00417E23"/>
    <w:rsid w:val="004257E0"/>
    <w:rsid w:val="0043053A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6FF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64AD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7A5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1558"/>
    <w:rsid w:val="00A43299"/>
    <w:rsid w:val="00A467CA"/>
    <w:rsid w:val="00A536E5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EF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257F"/>
    <w:rsid w:val="00D21BCE"/>
    <w:rsid w:val="00D516C1"/>
    <w:rsid w:val="00D6344F"/>
    <w:rsid w:val="00D807F5"/>
    <w:rsid w:val="00D80E4A"/>
    <w:rsid w:val="00D92771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pH.docx</dmsv2BaseFileName>
    <dmsv2BaseDisplayName xmlns="http://schemas.microsoft.com/sharepoint/v3">Załącznik nr 2 do SWZ - Warunki pH</dmsv2BaseDisplayName>
    <dmsv2SWPP2ObjectNumber xmlns="http://schemas.microsoft.com/sharepoint/v3">POST/DYS/OLD/GZ/04545/2025                        </dmsv2SWPP2ObjectNumber>
    <dmsv2SWPP2SumMD5 xmlns="http://schemas.microsoft.com/sharepoint/v3">38ab5fe0d0c1311279a4a0e03ad7d49e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23997192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JEUP5JKVCYQC-1133723987-11191</_dlc_DocId>
    <_dlc_DocIdUrl xmlns="a19cb1c7-c5c7-46d4-85ae-d83685407bba">
      <Url>https://swpp2.dms.gkpge.pl/sites/41/_layouts/15/DocIdRedir.aspx?ID=JEUP5JKVCYQC-1133723987-11191</Url>
      <Description>JEUP5JKVCYQC-1133723987-11191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81C8B87-876B-4B55-8103-65F0771A361A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0309C4-0997-4B0C-A20D-E914529D6D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E9C94E-288C-4312-82FB-E17F34B8102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42</TotalTime>
  <Pages>6</Pages>
  <Words>3556</Words>
  <Characters>21339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14</cp:revision>
  <cp:lastPrinted>2024-07-15T11:21:00Z</cp:lastPrinted>
  <dcterms:created xsi:type="dcterms:W3CDTF">2025-10-02T07:07:00Z</dcterms:created>
  <dcterms:modified xsi:type="dcterms:W3CDTF">2025-12-16T08:48:00Z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486fb318-f801-47ae-b4e2-2f8a3881afcc</vt:lpwstr>
  </property>
</Properties>
</file>